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0D" w:rsidRDefault="00E87E0D" w:rsidP="00E87E0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E87E0D" w:rsidRDefault="00E87E0D" w:rsidP="00E87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E87E0D" w:rsidRDefault="00E87E0D" w:rsidP="00E87E0D">
      <w:pPr>
        <w:pStyle w:val="a3"/>
        <w:numPr>
          <w:ilvl w:val="0"/>
          <w:numId w:val="10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E87E0D" w:rsidRDefault="00E87E0D" w:rsidP="00E87E0D">
      <w:pPr>
        <w:pStyle w:val="a3"/>
        <w:numPr>
          <w:ilvl w:val="0"/>
          <w:numId w:val="10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E87E0D" w:rsidRDefault="00E87E0D" w:rsidP="00E87E0D">
      <w:pPr>
        <w:pStyle w:val="a3"/>
        <w:numPr>
          <w:ilvl w:val="0"/>
          <w:numId w:val="10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E87E0D" w:rsidRDefault="00E87E0D" w:rsidP="00E87E0D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E87E0D" w:rsidRDefault="00E87E0D" w:rsidP="00E87E0D">
      <w:pPr>
        <w:ind w:firstLine="720"/>
      </w:pPr>
    </w:p>
    <w:p w:rsidR="00E87E0D" w:rsidRDefault="00E87E0D" w:rsidP="00E87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E87E0D" w:rsidRDefault="00E87E0D" w:rsidP="00E87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E87E0D" w:rsidRDefault="00E87E0D" w:rsidP="00E87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E87E0D" w:rsidRDefault="00E87E0D" w:rsidP="00E87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F4313B">
        <w:rPr>
          <w:rFonts w:ascii="Times New Roman" w:hAnsi="Times New Roman" w:cs="Times New Roman"/>
          <w:b/>
          <w:sz w:val="28"/>
          <w:szCs w:val="28"/>
        </w:rPr>
        <w:t>Особенности дуговой сварки в защитных газах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7E0D" w:rsidRDefault="00E87E0D" w:rsidP="00E87E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13B">
        <w:rPr>
          <w:rFonts w:ascii="Times New Roman" w:hAnsi="Times New Roman" w:cs="Times New Roman"/>
          <w:sz w:val="28"/>
          <w:szCs w:val="28"/>
        </w:rPr>
        <w:t>варка в защитном газе — дуговая сварка, при которой дуга и расплавляемый металл, а в некоторых случаях и остывающий шов находятся в защитном газе, подаваемом в зону сварки с помощью специальных устройств.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 xml:space="preserve">Сварку в защитных газах можно выполнять неплавящимся, обычно вольфрамовым, или плавящимся электродом (см. рис. 1.4). В первом случае сварной шов образуется за счет расплавления кромок деталей и, если необходимо, подаваемой в зону дуги присадочной проволоки. Во втором случае плавящийся электрод в процессе сварки расплавляется и участвует </w:t>
      </w:r>
      <w:proofErr w:type="gramStart"/>
      <w:r w:rsidRPr="00F431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13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F4313B">
        <w:rPr>
          <w:rFonts w:ascii="Times New Roman" w:hAnsi="Times New Roman" w:cs="Times New Roman"/>
          <w:sz w:val="28"/>
          <w:szCs w:val="28"/>
        </w:rPr>
        <w:t xml:space="preserve"> металла</w:t>
      </w:r>
    </w:p>
    <w:p w:rsid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 xml:space="preserve">Установлены следующие обозначения способов сварки в защитных газах: ИН — в инертных газах неплавящимся электродом, </w:t>
      </w:r>
      <w:proofErr w:type="spellStart"/>
      <w:r w:rsidRPr="00F4313B">
        <w:rPr>
          <w:rFonts w:ascii="Times New Roman" w:hAnsi="Times New Roman" w:cs="Times New Roman"/>
          <w:sz w:val="28"/>
          <w:szCs w:val="28"/>
        </w:rPr>
        <w:t>ИНп</w:t>
      </w:r>
      <w:proofErr w:type="spellEnd"/>
      <w:r w:rsidRPr="00F4313B">
        <w:rPr>
          <w:rFonts w:ascii="Times New Roman" w:hAnsi="Times New Roman" w:cs="Times New Roman"/>
          <w:sz w:val="28"/>
          <w:szCs w:val="28"/>
        </w:rPr>
        <w:t xml:space="preserve"> — в инертных газах неплавящимся электродом с присадочным металлом, ИП — в инертных газах и их смесях с углекислым газом и кислородом, плавящимся электродом, УП — в углекислом газе или его смеси с кислородом плавящимся электродом.</w:t>
      </w:r>
    </w:p>
    <w:p w:rsidR="00E87E0D" w:rsidRPr="00F4313B" w:rsidRDefault="00E87E0D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13B" w:rsidRPr="00F4313B" w:rsidRDefault="00F4313B" w:rsidP="00835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3B">
        <w:rPr>
          <w:rFonts w:ascii="Times New Roman" w:hAnsi="Times New Roman" w:cs="Times New Roman"/>
          <w:b/>
          <w:sz w:val="28"/>
          <w:szCs w:val="28"/>
        </w:rPr>
        <w:t>Основные преимущества сварки в защитных газах состоят в следующем: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высокое качество сварных соединений разнообразных металлов и их сплавов разной толщины, особенно при сварке в. инертных газах из-за малого угара легирующих элементов;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возможность сварки в различных пространственных положениях, отсутствие операций по засыпке и уборке флюса, и удалению шлака;</w:t>
      </w:r>
    </w:p>
    <w:p w:rsid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возможность наблюдения за образованием шва и простота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4313B">
        <w:rPr>
          <w:rFonts w:ascii="Times New Roman" w:hAnsi="Times New Roman" w:cs="Times New Roman"/>
          <w:sz w:val="28"/>
          <w:szCs w:val="28"/>
        </w:rPr>
        <w:t>ехан</w:t>
      </w:r>
      <w:r w:rsidR="00E87E0D">
        <w:rPr>
          <w:rFonts w:ascii="Times New Roman" w:hAnsi="Times New Roman" w:cs="Times New Roman"/>
          <w:sz w:val="28"/>
          <w:szCs w:val="28"/>
        </w:rPr>
        <w:t>изации и автоматизации процесса.</w:t>
      </w:r>
    </w:p>
    <w:p w:rsidR="00E87E0D" w:rsidRPr="00F4313B" w:rsidRDefault="00E87E0D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13B" w:rsidRPr="00F4313B" w:rsidRDefault="00F4313B" w:rsidP="00835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3B">
        <w:rPr>
          <w:rFonts w:ascii="Times New Roman" w:hAnsi="Times New Roman" w:cs="Times New Roman"/>
          <w:b/>
          <w:sz w:val="28"/>
          <w:szCs w:val="28"/>
        </w:rPr>
        <w:t>Недостатками сварки в защитных газах являются: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необходимость принятия защитных мер против светового и теплового излучения дуги;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возможность нарушения газовой защиты при сварке на сквозняках и в монтажных условиях (сдувание струи);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необходимость в случае выполнения сварки при большой силе тока в водяном охлаждении горелок.</w:t>
      </w:r>
    </w:p>
    <w:p w:rsidR="00E87E0D" w:rsidRDefault="00E87E0D" w:rsidP="00E87E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Защитные газы</w:t>
      </w:r>
    </w:p>
    <w:p w:rsidR="00E87E0D" w:rsidRDefault="00E87E0D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D8" w:rsidRPr="008356D8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 xml:space="preserve"> В качестве защитных используют инертные газы (аргон, гелий и их смеси), не взаимодействующие с металлом</w:t>
      </w:r>
      <w:r w:rsidR="008356D8" w:rsidRPr="008356D8">
        <w:t xml:space="preserve"> </w:t>
      </w:r>
      <w:r w:rsidR="008356D8" w:rsidRPr="008356D8">
        <w:rPr>
          <w:rFonts w:ascii="Times New Roman" w:hAnsi="Times New Roman" w:cs="Times New Roman"/>
          <w:sz w:val="28"/>
          <w:szCs w:val="28"/>
        </w:rPr>
        <w:t>при сварке, и активные газы (углекислый газ и др.), взаимодействующие с металлом, а также смеси газов.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Смесь аргона с 1...5 % кислорода применяют для сварки низкоуглеродистой и легированной стали. Добавка кислорода к аргону уменьшает силу критического тока, предупреждает возникновение пор и улучшает форму шва.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Смесь аргона с 10...25 % углекислого газа при сварке углеродистых сталей позволяет избежать образования пор, несколько повышает стабильность горения дуги и надежность защиты зоны сварки при наличии сквозняков, а также улучшает формирование шва при сварке тонколистового металла.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Смесь аргона с углекислым газом (до 20 %) и добавкой не более 5 % кислорода используют при сварке углеродистых и легированных сталей. Добавка активных газов повышает стабильность горения дуги, улучшает формирование швов и предупреждает образование пор.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Смесь углекислого газа с кислородом (до 20 %) применяют при сварке углеродистой стали. Эта смесь, обладающая высокой окислительной способностью, обеспечивает глубокое проплавление, хорошую форму шва и уменьшение пористости.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Теплофизические свойства защитных газов оказывают значительное влияние на технологические свойства дуги, а значит, и на форму и размеры шва. При прочих равных условиях напряжение дуги в гелии выше, чем у дуги в аргоне, а образующийся шов имеет меньшую глубину проплавления и большую ширину. УглеЮ4слый газ по влиянию на форму шва занимает промежуточное положение.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Схемы подачи защитных газов. При сварке в защитных газах для защиты зоны дуги и расплавленного металла газ подают струей с помощью горелки (местная защита), а иногда сварку выполняют в камерах, заполненных газом (общая защита).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Наиболее распространена местная защита потоком газа, истекающим из сопла сварочной горелки. Качество струйной защиты зависит от конструкции и размеров сопла, расстояния от его среза до поверхности свариваемого материала и расхода защитного газа.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В строении газового потока различают две области: ядро потока и периферийную область. При истечении в окружающую воздушную среду в ядре потока сохраняются скорость и состав газа, характерные для среза сопла. Периферийная часть потока представляет собой область, в которой защитный газ смешивается с окружающим воздухом. Поэтому надежная защита металла может осуществляться только в пределах ядра потока. Чем больше длина этого участка, тем лучше защитные свойства струи газа. Максимальная длина ядра наблюдается при спокойном истечении газа из сопла. При вихревом характере истечения газа строение</w:t>
      </w:r>
      <w:r w:rsidRPr="008356D8">
        <w:t xml:space="preserve"> </w:t>
      </w:r>
      <w:r w:rsidRPr="008356D8">
        <w:rPr>
          <w:rFonts w:ascii="Times New Roman" w:hAnsi="Times New Roman" w:cs="Times New Roman"/>
          <w:sz w:val="28"/>
          <w:szCs w:val="28"/>
        </w:rPr>
        <w:t>потока нарушается и его защитные свойства резко ухудшаются.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Эффективность защиты в значительной степени определяется конструкцией и размерами горелки, которые выбирают с учетом состава защитного газа, вида сварочного соединения и режима сварки. Истечение газа из горелки должно быть равномерным по всему сечению сопла. С этой целью применяют различные схемы подвода газа в сварочные горелки (рис.1). Характер истечения зависит от конфигурации проточной части сопла, его размеров и расхода газа. Для плавного истечения газа внутреннюю полость</w:t>
      </w:r>
      <w:r w:rsidRPr="008356D8">
        <w:t xml:space="preserve"> </w:t>
      </w:r>
      <w:r w:rsidRPr="008356D8">
        <w:rPr>
          <w:rFonts w:ascii="Times New Roman" w:hAnsi="Times New Roman" w:cs="Times New Roman"/>
          <w:sz w:val="28"/>
          <w:szCs w:val="28"/>
        </w:rPr>
        <w:t xml:space="preserve">сопла делают параболической или конической с цилиндрической частью на выходе. Для повышения эффективности струйной защиты на входе в сопло в горелке </w:t>
      </w:r>
      <w:r w:rsidRPr="008356D8">
        <w:rPr>
          <w:rFonts w:ascii="Times New Roman" w:hAnsi="Times New Roman" w:cs="Times New Roman"/>
          <w:sz w:val="28"/>
          <w:szCs w:val="28"/>
        </w:rPr>
        <w:lastRenderedPageBreak/>
        <w:t>устанавливают мелкие сетки, пористые и другие материалы, позволяющие дополнительно стабилизировать поток газа на выходе из сопла. Расход защитного газа выбирают исходя из условия обеспечения спокойного истечения струи. Токопроводящий мундштук целесообразно несколько утопить в горелке.</w:t>
      </w:r>
    </w:p>
    <w:p w:rsidR="008356D8" w:rsidRDefault="008356D8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D8" w:rsidRDefault="008356D8" w:rsidP="00E8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54D8DBAA" wp14:editId="1E6FF9C1">
            <wp:extent cx="4549140" cy="2583180"/>
            <wp:effectExtent l="0" t="0" r="3810" b="7620"/>
            <wp:docPr id="1" name="Picture 4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7" name="Picture 46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0247" cy="2583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56D8" w:rsidRPr="008356D8" w:rsidRDefault="00E87E0D" w:rsidP="00835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1.</w:t>
      </w:r>
      <w:r w:rsidR="008356D8" w:rsidRPr="008356D8">
        <w:rPr>
          <w:rFonts w:ascii="Times New Roman" w:hAnsi="Times New Roman" w:cs="Times New Roman"/>
          <w:i/>
          <w:sz w:val="24"/>
          <w:szCs w:val="28"/>
        </w:rPr>
        <w:t xml:space="preserve"> Схемы подвода газа в сварочные горелки:</w:t>
      </w:r>
    </w:p>
    <w:p w:rsidR="008356D8" w:rsidRPr="008356D8" w:rsidRDefault="008356D8" w:rsidP="00835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56D8">
        <w:rPr>
          <w:rFonts w:ascii="Times New Roman" w:hAnsi="Times New Roman" w:cs="Times New Roman"/>
          <w:i/>
          <w:sz w:val="24"/>
          <w:szCs w:val="28"/>
        </w:rPr>
        <w:t xml:space="preserve">а — с отражателями; б — с успокоительными камерами; в — кольцевой подвод; отражатель газа; 2 — успокоительная пористая камера; </w:t>
      </w:r>
    </w:p>
    <w:p w:rsidR="008356D8" w:rsidRPr="008356D8" w:rsidRDefault="008356D8" w:rsidP="00835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8356D8">
        <w:rPr>
          <w:rFonts w:ascii="Times New Roman" w:hAnsi="Times New Roman" w:cs="Times New Roman"/>
          <w:i/>
          <w:sz w:val="24"/>
          <w:szCs w:val="28"/>
        </w:rPr>
        <w:t>З</w:t>
      </w:r>
      <w:proofErr w:type="gramEnd"/>
      <w:r w:rsidRPr="008356D8">
        <w:rPr>
          <w:rFonts w:ascii="Times New Roman" w:hAnsi="Times New Roman" w:cs="Times New Roman"/>
          <w:i/>
          <w:sz w:val="24"/>
          <w:szCs w:val="28"/>
        </w:rPr>
        <w:t xml:space="preserve"> — распределительная сетка; 4 — пористая керамика</w:t>
      </w:r>
    </w:p>
    <w:p w:rsidR="008356D8" w:rsidRDefault="008356D8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В зону сварки защитный газ может подаваться концентрично вокруг дуги (рис.2, а, б), а при повышенных скоростях сварки плавящимся электродом           сбоку (рис.2, в).</w:t>
      </w:r>
    </w:p>
    <w:p w:rsidR="008356D8" w:rsidRPr="008356D8" w:rsidRDefault="008356D8" w:rsidP="0083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Для экономии инертных газов осуществляют защиту двумя раздельными потоками газов (рис.2, б), причем наружным обычно является поток углекислого газа.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При сварке активных материалов для предупреждения контакта воздуха не только с расплавленным, но и с нагретым твердым металлом применяют удлиненные насадки на сопла (рис.2, г), называемые подвижными камерами.</w:t>
      </w:r>
    </w:p>
    <w:p w:rsid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Наиболее надежная общая защита достигается при размещении свариваемых деталей в стационарных камерах, из которых предварительно откачивают воздух, а затем заполняют защитным газом. Для сварки крупногабаритных деталей используют переносные камеры из мягких пластичных, обычно прозрачных, материалов, устанавливаемых непосредственно над свариваемым стыком.</w:t>
      </w:r>
    </w:p>
    <w:p w:rsidR="00E87E0D" w:rsidRDefault="00E87E0D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6D8" w:rsidRDefault="008356D8" w:rsidP="00E8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2E28C79F" wp14:editId="6D7EFB98">
            <wp:extent cx="4699795" cy="1844040"/>
            <wp:effectExtent l="0" t="0" r="5715" b="3810"/>
            <wp:docPr id="2" name="Picture 4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" name="Picture 47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6981" cy="1850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56D8" w:rsidRDefault="00E87E0D" w:rsidP="00602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Рис. </w:t>
      </w:r>
      <w:r w:rsidR="008356D8" w:rsidRPr="008356D8">
        <w:rPr>
          <w:rFonts w:ascii="Times New Roman" w:hAnsi="Times New Roman" w:cs="Times New Roman"/>
          <w:i/>
          <w:sz w:val="24"/>
          <w:szCs w:val="28"/>
        </w:rPr>
        <w:t xml:space="preserve">2. Схемы потоков защитных газов в зоне сварки: а — одного концентрического; б — двух концентрических; в -— — бокового; г при подаче газа в сопло и насадку; 1 —- электрод; 2 —- насадка; </w:t>
      </w:r>
      <w:proofErr w:type="gramStart"/>
      <w:r w:rsidR="008356D8" w:rsidRPr="008356D8">
        <w:rPr>
          <w:rFonts w:ascii="Times New Roman" w:hAnsi="Times New Roman" w:cs="Times New Roman"/>
          <w:i/>
          <w:sz w:val="24"/>
          <w:szCs w:val="28"/>
        </w:rPr>
        <w:t>З</w:t>
      </w:r>
      <w:proofErr w:type="gramEnd"/>
      <w:r w:rsidR="008356D8" w:rsidRPr="008356D8">
        <w:rPr>
          <w:rFonts w:ascii="Times New Roman" w:hAnsi="Times New Roman" w:cs="Times New Roman"/>
          <w:i/>
          <w:sz w:val="24"/>
          <w:szCs w:val="28"/>
        </w:rPr>
        <w:t xml:space="preserve"> — распределительная сетка; — скорость сварки</w:t>
      </w:r>
    </w:p>
    <w:p w:rsidR="00B535EB" w:rsidRDefault="00B535EB" w:rsidP="00602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E87E0D" w:rsidRDefault="00E87E0D" w:rsidP="00602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E87E0D" w:rsidRDefault="00B535EB" w:rsidP="00E8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5EB">
        <w:rPr>
          <w:rFonts w:ascii="Times New Roman" w:hAnsi="Times New Roman" w:cs="Times New Roman"/>
          <w:b/>
          <w:sz w:val="28"/>
          <w:szCs w:val="28"/>
        </w:rPr>
        <w:lastRenderedPageBreak/>
        <w:t>Способы дополнительного легирования шва</w:t>
      </w:r>
    </w:p>
    <w:p w:rsidR="00E87E0D" w:rsidRDefault="00E87E0D" w:rsidP="00602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D8" w:rsidRDefault="00B535EB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EB">
        <w:rPr>
          <w:rFonts w:ascii="Times New Roman" w:hAnsi="Times New Roman" w:cs="Times New Roman"/>
          <w:sz w:val="28"/>
          <w:szCs w:val="28"/>
        </w:rPr>
        <w:t xml:space="preserve"> При необходимости металлургической обработки и дополнительного легирования шва в зону дуги подают небольшое количество раскисляющих или легирующих веществ. Указанные вещества проще всего ввести с помощью порошковой проволоки. Шлакообразующие вещества вводят в виде пыли или паров вместе с защитным газом, в составе</w:t>
      </w:r>
      <w:r w:rsidR="00040FD3" w:rsidRPr="00040FD3">
        <w:t xml:space="preserve"> </w:t>
      </w:r>
      <w:r w:rsidR="00040FD3" w:rsidRPr="00040FD3">
        <w:rPr>
          <w:rFonts w:ascii="Times New Roman" w:hAnsi="Times New Roman" w:cs="Times New Roman"/>
          <w:sz w:val="28"/>
          <w:szCs w:val="28"/>
        </w:rPr>
        <w:t>магнитного флюса, флюса, засыпаемого в разделку кромок или обмазки, наносимой на поверхность электродной проволоки, и другими способами. Состав металла шва можно менять путем подачи в зону сварки дополнительной присадочной проволоки, а также при выполнении двухдуговой сварки в общую ванну проволоками различного состава.</w:t>
      </w:r>
    </w:p>
    <w:p w:rsidR="00F4313B" w:rsidRDefault="00F4313B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E0D" w:rsidRDefault="00E87E0D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Pr="00E87E0D" w:rsidRDefault="00E87E0D" w:rsidP="007C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E0D"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материала</w:t>
      </w:r>
    </w:p>
    <w:p w:rsidR="00E87E0D" w:rsidRPr="007C4B2D" w:rsidRDefault="00E87E0D" w:rsidP="007C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78" w:rsidRDefault="00040FD3" w:rsidP="00940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основная особенность сварки в защитных газах</w:t>
      </w:r>
      <w:r w:rsidR="00DD0E05">
        <w:rPr>
          <w:rFonts w:ascii="Times New Roman" w:hAnsi="Times New Roman" w:cs="Times New Roman"/>
          <w:sz w:val="28"/>
          <w:szCs w:val="28"/>
        </w:rPr>
        <w:t>?</w:t>
      </w:r>
    </w:p>
    <w:p w:rsidR="00DD0E05" w:rsidRDefault="00040FD3" w:rsidP="00940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недостатки сварки в защитных газах.</w:t>
      </w:r>
    </w:p>
    <w:p w:rsidR="00040FD3" w:rsidRDefault="00040FD3" w:rsidP="00940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подвод газа к горелке</w:t>
      </w:r>
      <w:r w:rsidR="00DD0E05">
        <w:rPr>
          <w:rFonts w:ascii="Times New Roman" w:hAnsi="Times New Roman" w:cs="Times New Roman"/>
          <w:sz w:val="28"/>
          <w:szCs w:val="28"/>
        </w:rPr>
        <w:t>?</w:t>
      </w:r>
      <w:r w:rsidR="000747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A4E" w:rsidRDefault="001C0A4E" w:rsidP="00940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способы дополнительного легирования шва?</w:t>
      </w:r>
    </w:p>
    <w:p w:rsidR="00DD0E05" w:rsidRPr="001C0A4E" w:rsidRDefault="000747EA" w:rsidP="001C0A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0A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9F0" w:rsidRPr="00E87E0D" w:rsidRDefault="00E87E0D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E0D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95348D" w:rsidRPr="001C0A4E" w:rsidRDefault="00B423CC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E87E0D">
        <w:rPr>
          <w:rFonts w:ascii="Times New Roman" w:hAnsi="Times New Roman" w:cs="Times New Roman"/>
          <w:sz w:val="28"/>
          <w:szCs w:val="28"/>
        </w:rPr>
        <w:t>Нарисовать газовые баллоны</w:t>
      </w:r>
      <w:r w:rsidR="00546403">
        <w:rPr>
          <w:rFonts w:ascii="Times New Roman" w:hAnsi="Times New Roman" w:cs="Times New Roman"/>
          <w:sz w:val="28"/>
          <w:szCs w:val="28"/>
        </w:rPr>
        <w:t xml:space="preserve"> (цвет окраски</w:t>
      </w:r>
      <w:r w:rsidR="00E87E0D">
        <w:rPr>
          <w:rFonts w:ascii="Times New Roman" w:hAnsi="Times New Roman" w:cs="Times New Roman"/>
          <w:sz w:val="28"/>
          <w:szCs w:val="28"/>
        </w:rPr>
        <w:t xml:space="preserve"> баллона</w:t>
      </w:r>
      <w:r w:rsidR="00546403">
        <w:rPr>
          <w:rFonts w:ascii="Times New Roman" w:hAnsi="Times New Roman" w:cs="Times New Roman"/>
          <w:sz w:val="28"/>
          <w:szCs w:val="28"/>
        </w:rPr>
        <w:t>, надпись на баллоне</w:t>
      </w:r>
      <w:r w:rsidR="00E87E0D">
        <w:rPr>
          <w:rFonts w:ascii="Times New Roman" w:hAnsi="Times New Roman" w:cs="Times New Roman"/>
          <w:sz w:val="28"/>
          <w:szCs w:val="28"/>
        </w:rPr>
        <w:t xml:space="preserve"> – должна соответствовать названию газа содержащегося в том или ином баллоне</w:t>
      </w:r>
      <w:r w:rsidR="00546403">
        <w:rPr>
          <w:rFonts w:ascii="Times New Roman" w:hAnsi="Times New Roman" w:cs="Times New Roman"/>
          <w:sz w:val="28"/>
          <w:szCs w:val="28"/>
        </w:rPr>
        <w:t>)</w:t>
      </w:r>
      <w:r w:rsidR="003172CA">
        <w:rPr>
          <w:rFonts w:ascii="Times New Roman" w:hAnsi="Times New Roman" w:cs="Times New Roman"/>
          <w:sz w:val="28"/>
          <w:szCs w:val="28"/>
        </w:rPr>
        <w:t>.</w:t>
      </w:r>
    </w:p>
    <w:p w:rsidR="003B368C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436" w:rsidRDefault="00E87E0D" w:rsidP="00E87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E87E0D" w:rsidRPr="004F09CA" w:rsidRDefault="00E87E0D" w:rsidP="00382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E87E0D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EA" w:rsidRDefault="00B945EA" w:rsidP="00A24B35">
      <w:pPr>
        <w:spacing w:after="0" w:line="240" w:lineRule="auto"/>
      </w:pPr>
      <w:r>
        <w:separator/>
      </w:r>
    </w:p>
  </w:endnote>
  <w:endnote w:type="continuationSeparator" w:id="0">
    <w:p w:rsidR="00B945EA" w:rsidRDefault="00B945E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EA" w:rsidRDefault="00B945EA" w:rsidP="00A24B35">
      <w:pPr>
        <w:spacing w:after="0" w:line="240" w:lineRule="auto"/>
      </w:pPr>
      <w:r>
        <w:separator/>
      </w:r>
    </w:p>
  </w:footnote>
  <w:footnote w:type="continuationSeparator" w:id="0">
    <w:p w:rsidR="00B945EA" w:rsidRDefault="00B945E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0699A"/>
    <w:rsid w:val="00010AF1"/>
    <w:rsid w:val="00012826"/>
    <w:rsid w:val="00022644"/>
    <w:rsid w:val="00025D43"/>
    <w:rsid w:val="00040060"/>
    <w:rsid w:val="00040FD3"/>
    <w:rsid w:val="0004101F"/>
    <w:rsid w:val="00063A67"/>
    <w:rsid w:val="000747EA"/>
    <w:rsid w:val="000835A6"/>
    <w:rsid w:val="00094CC4"/>
    <w:rsid w:val="000B3ACB"/>
    <w:rsid w:val="000D3957"/>
    <w:rsid w:val="00122C14"/>
    <w:rsid w:val="0013283E"/>
    <w:rsid w:val="00136313"/>
    <w:rsid w:val="001A50C8"/>
    <w:rsid w:val="001C0A4E"/>
    <w:rsid w:val="001E7C31"/>
    <w:rsid w:val="00200EFE"/>
    <w:rsid w:val="002019D3"/>
    <w:rsid w:val="0021159C"/>
    <w:rsid w:val="00214520"/>
    <w:rsid w:val="00225987"/>
    <w:rsid w:val="00254FCC"/>
    <w:rsid w:val="002900C7"/>
    <w:rsid w:val="002A407D"/>
    <w:rsid w:val="002C68C6"/>
    <w:rsid w:val="002D3067"/>
    <w:rsid w:val="002D477C"/>
    <w:rsid w:val="002E6104"/>
    <w:rsid w:val="003009F0"/>
    <w:rsid w:val="003172CA"/>
    <w:rsid w:val="00320B47"/>
    <w:rsid w:val="00320DC4"/>
    <w:rsid w:val="003472D7"/>
    <w:rsid w:val="003825EB"/>
    <w:rsid w:val="003B368C"/>
    <w:rsid w:val="003B3A81"/>
    <w:rsid w:val="003F27C0"/>
    <w:rsid w:val="004038D7"/>
    <w:rsid w:val="00415A28"/>
    <w:rsid w:val="00433F7B"/>
    <w:rsid w:val="00473879"/>
    <w:rsid w:val="00486E1B"/>
    <w:rsid w:val="00493BEA"/>
    <w:rsid w:val="004A6E50"/>
    <w:rsid w:val="004E1C60"/>
    <w:rsid w:val="004F09CA"/>
    <w:rsid w:val="00503799"/>
    <w:rsid w:val="00522943"/>
    <w:rsid w:val="005313B9"/>
    <w:rsid w:val="005363BA"/>
    <w:rsid w:val="00546403"/>
    <w:rsid w:val="00574965"/>
    <w:rsid w:val="005856B3"/>
    <w:rsid w:val="005B0772"/>
    <w:rsid w:val="005D4443"/>
    <w:rsid w:val="005E26A6"/>
    <w:rsid w:val="00600B21"/>
    <w:rsid w:val="00602AD7"/>
    <w:rsid w:val="00634E37"/>
    <w:rsid w:val="00644C81"/>
    <w:rsid w:val="00666FBD"/>
    <w:rsid w:val="00673436"/>
    <w:rsid w:val="00684F6F"/>
    <w:rsid w:val="00687BDE"/>
    <w:rsid w:val="006A1D4D"/>
    <w:rsid w:val="006B24DB"/>
    <w:rsid w:val="006B5FDF"/>
    <w:rsid w:val="006D6142"/>
    <w:rsid w:val="006F1B4D"/>
    <w:rsid w:val="00707889"/>
    <w:rsid w:val="00723DF6"/>
    <w:rsid w:val="00746257"/>
    <w:rsid w:val="007515DE"/>
    <w:rsid w:val="00773C77"/>
    <w:rsid w:val="00791AA1"/>
    <w:rsid w:val="007A3725"/>
    <w:rsid w:val="007C3EA1"/>
    <w:rsid w:val="007C40F3"/>
    <w:rsid w:val="007C4B2D"/>
    <w:rsid w:val="007C56BB"/>
    <w:rsid w:val="007C773F"/>
    <w:rsid w:val="007D3108"/>
    <w:rsid w:val="00800788"/>
    <w:rsid w:val="008356D8"/>
    <w:rsid w:val="00850714"/>
    <w:rsid w:val="008B2303"/>
    <w:rsid w:val="008C5655"/>
    <w:rsid w:val="008D49DC"/>
    <w:rsid w:val="008F7FAD"/>
    <w:rsid w:val="00940C2A"/>
    <w:rsid w:val="00941EC8"/>
    <w:rsid w:val="009424B2"/>
    <w:rsid w:val="0095348D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C046B"/>
    <w:rsid w:val="00AC30B3"/>
    <w:rsid w:val="00B1317C"/>
    <w:rsid w:val="00B423CC"/>
    <w:rsid w:val="00B535EB"/>
    <w:rsid w:val="00B763AE"/>
    <w:rsid w:val="00B76DE3"/>
    <w:rsid w:val="00B80887"/>
    <w:rsid w:val="00B86223"/>
    <w:rsid w:val="00B91C35"/>
    <w:rsid w:val="00B945EA"/>
    <w:rsid w:val="00BE5AEB"/>
    <w:rsid w:val="00BF45AA"/>
    <w:rsid w:val="00BF7386"/>
    <w:rsid w:val="00C077F6"/>
    <w:rsid w:val="00C1638A"/>
    <w:rsid w:val="00C348CC"/>
    <w:rsid w:val="00C57714"/>
    <w:rsid w:val="00C81C79"/>
    <w:rsid w:val="00C9412E"/>
    <w:rsid w:val="00C97950"/>
    <w:rsid w:val="00CD4578"/>
    <w:rsid w:val="00CD550A"/>
    <w:rsid w:val="00D433BB"/>
    <w:rsid w:val="00D44BFD"/>
    <w:rsid w:val="00D53D55"/>
    <w:rsid w:val="00D57FF2"/>
    <w:rsid w:val="00D61A86"/>
    <w:rsid w:val="00D643B9"/>
    <w:rsid w:val="00DA51A3"/>
    <w:rsid w:val="00DC2CA7"/>
    <w:rsid w:val="00DD0E05"/>
    <w:rsid w:val="00DD6DCD"/>
    <w:rsid w:val="00DE4FCF"/>
    <w:rsid w:val="00DE7AD1"/>
    <w:rsid w:val="00E23567"/>
    <w:rsid w:val="00E42F2C"/>
    <w:rsid w:val="00E87E0D"/>
    <w:rsid w:val="00E91679"/>
    <w:rsid w:val="00EA2D32"/>
    <w:rsid w:val="00ED2620"/>
    <w:rsid w:val="00EF5D0B"/>
    <w:rsid w:val="00F02004"/>
    <w:rsid w:val="00F36BE2"/>
    <w:rsid w:val="00F4313B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87E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87E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8340-581A-446D-83F1-89A9109E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147</cp:revision>
  <dcterms:created xsi:type="dcterms:W3CDTF">2020-03-23T11:33:00Z</dcterms:created>
  <dcterms:modified xsi:type="dcterms:W3CDTF">2020-04-27T19:48:00Z</dcterms:modified>
</cp:coreProperties>
</file>